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7D" w:rsidRPr="006E3D0B" w:rsidRDefault="00A4797D" w:rsidP="00A4797D">
      <w:pPr>
        <w:spacing w:after="0" w:line="240" w:lineRule="auto"/>
        <w:ind w:firstLine="426"/>
        <w:jc w:val="both"/>
        <w:outlineLvl w:val="1"/>
        <w:rPr>
          <w:rFonts w:ascii="Times New Roman" w:eastAsia="Times New Roman" w:hAnsi="Times New Roman" w:cs="Times New Roman"/>
          <w:sz w:val="24"/>
          <w:szCs w:val="24"/>
          <w:lang w:eastAsia="ru-RU"/>
        </w:rPr>
      </w:pPr>
      <w:r w:rsidRPr="006E3D0B">
        <w:rPr>
          <w:rFonts w:ascii="Tahoma" w:eastAsia="Times New Roman" w:hAnsi="Tahoma" w:cs="Tahoma"/>
          <w:sz w:val="19"/>
          <w:szCs w:val="19"/>
          <w:lang w:eastAsia="ru-RU"/>
        </w:rPr>
        <w:t>Приказ Минспорта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r w:rsidRPr="006E3D0B">
        <w:rPr>
          <w:rFonts w:ascii="Tahoma" w:eastAsia="Times New Roman" w:hAnsi="Tahoma" w:cs="Tahoma"/>
          <w:sz w:val="19"/>
          <w:szCs w:val="19"/>
          <w:lang w:eastAsia="ru-RU"/>
        </w:rPr>
        <w:br/>
      </w:r>
    </w:p>
    <w:p w:rsidR="00A4797D" w:rsidRPr="006E3D0B" w:rsidRDefault="00A4797D" w:rsidP="00A4797D">
      <w:pPr>
        <w:spacing w:after="0" w:line="240" w:lineRule="auto"/>
        <w:ind w:firstLine="426"/>
        <w:jc w:val="both"/>
        <w:outlineLvl w:val="1"/>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МИНИСТЕРСТВО СПОРТА РОССИЙСКОЙ ФЕДЕРАЦИИ</w:t>
      </w:r>
    </w:p>
    <w:p w:rsidR="00A4797D" w:rsidRPr="006E3D0B" w:rsidRDefault="00A4797D" w:rsidP="00A4797D">
      <w:pPr>
        <w:spacing w:after="0" w:line="240" w:lineRule="auto"/>
        <w:ind w:firstLine="426"/>
        <w:jc w:val="both"/>
        <w:outlineLvl w:val="1"/>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ПРИКАЗ от 12 сентября 2013 г. N 730</w:t>
      </w:r>
    </w:p>
    <w:p w:rsidR="00A4797D" w:rsidRPr="006E3D0B" w:rsidRDefault="00A4797D" w:rsidP="00A4797D">
      <w:pPr>
        <w:spacing w:after="0" w:line="240" w:lineRule="auto"/>
        <w:ind w:firstLine="426"/>
        <w:jc w:val="both"/>
        <w:outlineLvl w:val="1"/>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В соответствии с </w:t>
      </w:r>
      <w:hyperlink r:id="rId5" w:history="1">
        <w:r w:rsidRPr="006E3D0B">
          <w:rPr>
            <w:rFonts w:ascii="Calibri" w:eastAsia="Calibri" w:hAnsi="Calibri" w:cs="Times New Roman"/>
            <w:color w:val="0000FF"/>
            <w:sz w:val="24"/>
            <w:szCs w:val="24"/>
            <w:u w:val="single"/>
          </w:rPr>
          <w:t>частью 4 статьи 84</w:t>
        </w:r>
      </w:hyperlink>
      <w:r w:rsidRPr="006E3D0B">
        <w:rPr>
          <w:rFonts w:ascii="Times New Roman" w:eastAsia="Calibri"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приказываю:</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1. Утвердить по согласованию с Министерством образования и науки Российской Федерации прилагаемые федеральные государственные </w:t>
      </w:r>
      <w:hyperlink r:id="rId6" w:anchor="p31" w:tooltip="Ссылка на текущий документ" w:history="1">
        <w:r w:rsidRPr="006E3D0B">
          <w:rPr>
            <w:rFonts w:ascii="Calibri" w:eastAsia="Calibri" w:hAnsi="Calibri" w:cs="Times New Roman"/>
            <w:color w:val="0000FF"/>
            <w:sz w:val="24"/>
            <w:szCs w:val="24"/>
            <w:u w:val="single"/>
          </w:rPr>
          <w:t>требования</w:t>
        </w:r>
      </w:hyperlink>
      <w:r w:rsidRPr="006E3D0B">
        <w:rPr>
          <w:rFonts w:ascii="Times New Roman" w:eastAsia="Calibri" w:hAnsi="Times New Roman" w:cs="Times New Roman"/>
          <w:sz w:val="24"/>
          <w:szCs w:val="24"/>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2. Контроль за исполнением настоящего приказа возложить на заместителя Министра спорта Российской Федерации Ю.Д. Нагорных.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Министр</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В.Л.МУТКО</w:t>
      </w:r>
    </w:p>
    <w:p w:rsidR="00A4797D" w:rsidRPr="006E3D0B" w:rsidRDefault="00A4797D" w:rsidP="00A4797D">
      <w:pPr>
        <w:spacing w:after="0" w:line="240" w:lineRule="auto"/>
        <w:ind w:firstLine="426"/>
        <w:jc w:val="right"/>
        <w:rPr>
          <w:rFonts w:ascii="Times New Roman" w:eastAsia="Calibri" w:hAnsi="Times New Roman" w:cs="Times New Roman"/>
          <w:sz w:val="24"/>
          <w:szCs w:val="24"/>
        </w:rPr>
      </w:pPr>
      <w:r w:rsidRPr="006E3D0B">
        <w:rPr>
          <w:rFonts w:ascii="Times New Roman" w:eastAsia="Calibri" w:hAnsi="Times New Roman" w:cs="Times New Roman"/>
          <w:sz w:val="24"/>
          <w:szCs w:val="24"/>
        </w:rPr>
        <w:br/>
      </w:r>
      <w:r w:rsidRPr="006E3D0B">
        <w:rPr>
          <w:rFonts w:ascii="Times New Roman" w:eastAsia="Calibri" w:hAnsi="Times New Roman" w:cs="Times New Roman"/>
          <w:sz w:val="24"/>
          <w:szCs w:val="24"/>
        </w:rPr>
        <w:br/>
        <w:t>Утверждены</w:t>
      </w:r>
    </w:p>
    <w:p w:rsidR="00A4797D" w:rsidRPr="006E3D0B" w:rsidRDefault="00A4797D" w:rsidP="00A4797D">
      <w:pPr>
        <w:spacing w:after="0" w:line="240" w:lineRule="auto"/>
        <w:ind w:firstLine="426"/>
        <w:jc w:val="right"/>
        <w:rPr>
          <w:rFonts w:ascii="Times New Roman" w:eastAsia="Calibri" w:hAnsi="Times New Roman" w:cs="Times New Roman"/>
          <w:sz w:val="24"/>
          <w:szCs w:val="24"/>
        </w:rPr>
      </w:pPr>
      <w:r w:rsidRPr="006E3D0B">
        <w:rPr>
          <w:rFonts w:ascii="Times New Roman" w:eastAsia="Calibri" w:hAnsi="Times New Roman" w:cs="Times New Roman"/>
          <w:sz w:val="24"/>
          <w:szCs w:val="24"/>
        </w:rPr>
        <w:t>приказом Министерства спорта</w:t>
      </w:r>
    </w:p>
    <w:p w:rsidR="00A4797D" w:rsidRPr="006E3D0B" w:rsidRDefault="00A4797D" w:rsidP="00A4797D">
      <w:pPr>
        <w:spacing w:after="0" w:line="240" w:lineRule="auto"/>
        <w:ind w:firstLine="426"/>
        <w:jc w:val="right"/>
        <w:rPr>
          <w:rFonts w:ascii="Times New Roman" w:eastAsia="Calibri" w:hAnsi="Times New Roman" w:cs="Times New Roman"/>
          <w:sz w:val="24"/>
          <w:szCs w:val="24"/>
        </w:rPr>
      </w:pPr>
      <w:r w:rsidRPr="006E3D0B">
        <w:rPr>
          <w:rFonts w:ascii="Times New Roman" w:eastAsia="Calibri" w:hAnsi="Times New Roman" w:cs="Times New Roman"/>
          <w:sz w:val="24"/>
          <w:szCs w:val="24"/>
        </w:rPr>
        <w:t>Российской Федерации</w:t>
      </w:r>
    </w:p>
    <w:p w:rsidR="00A4797D" w:rsidRPr="006E3D0B" w:rsidRDefault="00A4797D" w:rsidP="00A4797D">
      <w:pPr>
        <w:spacing w:after="0" w:line="240" w:lineRule="auto"/>
        <w:ind w:firstLine="426"/>
        <w:jc w:val="right"/>
        <w:rPr>
          <w:rFonts w:ascii="Times New Roman" w:eastAsia="Calibri" w:hAnsi="Times New Roman" w:cs="Times New Roman"/>
          <w:sz w:val="24"/>
          <w:szCs w:val="24"/>
        </w:rPr>
      </w:pPr>
      <w:r w:rsidRPr="006E3D0B">
        <w:rPr>
          <w:rFonts w:ascii="Times New Roman" w:eastAsia="Calibri" w:hAnsi="Times New Roman" w:cs="Times New Roman"/>
          <w:sz w:val="24"/>
          <w:szCs w:val="24"/>
        </w:rPr>
        <w:t>от 13 сентября 2013 г. N 730</w:t>
      </w:r>
    </w:p>
    <w:p w:rsidR="00A4797D" w:rsidRPr="006E3D0B" w:rsidRDefault="00A4797D" w:rsidP="00A4797D">
      <w:pPr>
        <w:spacing w:after="0" w:line="240" w:lineRule="auto"/>
        <w:ind w:firstLine="426"/>
        <w:jc w:val="right"/>
        <w:rPr>
          <w:rFonts w:ascii="Times New Roman" w:eastAsia="Calibri" w:hAnsi="Times New Roman" w:cs="Times New Roman"/>
          <w:sz w:val="24"/>
          <w:szCs w:val="24"/>
        </w:rPr>
      </w:pPr>
    </w:p>
    <w:p w:rsidR="00A4797D" w:rsidRPr="006E3D0B" w:rsidRDefault="00A4797D" w:rsidP="00A4797D">
      <w:pPr>
        <w:spacing w:after="0" w:line="240" w:lineRule="auto"/>
        <w:ind w:firstLine="426"/>
        <w:jc w:val="both"/>
        <w:outlineLvl w:val="1"/>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ОБЛАСТИФИЗИЧЕСКОЙ КУЛЬТУРЫ И СПОРТА И К СРОКАМ ОБУЧЕНИЯПО ЭТИМ ПРОГРАММАМ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I. Общие положения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2.1. По игровым видам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 в соответствии с </w:t>
      </w:r>
      <w:hyperlink r:id="rId7" w:anchor="p66" w:tooltip="Ссылка на текущий документ" w:history="1">
        <w:r w:rsidRPr="006E3D0B">
          <w:rPr>
            <w:rFonts w:ascii="Calibri" w:eastAsia="Calibri" w:hAnsi="Calibri" w:cs="Times New Roman"/>
            <w:color w:val="0000FF"/>
            <w:sz w:val="24"/>
            <w:szCs w:val="24"/>
            <w:u w:val="single"/>
          </w:rPr>
          <w:t>главой II</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2.2. По командным игровым видам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 в соответствии с </w:t>
      </w:r>
      <w:hyperlink r:id="rId8" w:anchor="p115" w:tooltip="Ссылка на текущий документ" w:history="1">
        <w:r w:rsidRPr="006E3D0B">
          <w:rPr>
            <w:rFonts w:ascii="Calibri" w:eastAsia="Calibri" w:hAnsi="Calibri" w:cs="Times New Roman"/>
            <w:color w:val="0000FF"/>
            <w:sz w:val="24"/>
            <w:szCs w:val="24"/>
            <w:u w:val="single"/>
          </w:rPr>
          <w:t>главой III</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xml:space="preserve">2.3. По спортивным единоборствам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 в соответствии с </w:t>
      </w:r>
      <w:hyperlink r:id="rId9" w:anchor="p167" w:tooltip="Ссылка на текущий документ" w:history="1">
        <w:r w:rsidRPr="006E3D0B">
          <w:rPr>
            <w:rFonts w:ascii="Calibri" w:eastAsia="Calibri" w:hAnsi="Calibri" w:cs="Times New Roman"/>
            <w:color w:val="0000FF"/>
            <w:sz w:val="24"/>
            <w:szCs w:val="24"/>
            <w:u w:val="single"/>
          </w:rPr>
          <w:t>главой IV</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 в соответствии с </w:t>
      </w:r>
      <w:hyperlink r:id="rId10" w:anchor="p232" w:tooltip="Ссылка на текущий документ" w:history="1">
        <w:r w:rsidRPr="006E3D0B">
          <w:rPr>
            <w:rFonts w:ascii="Calibri" w:eastAsia="Calibri" w:hAnsi="Calibri" w:cs="Times New Roman"/>
            <w:color w:val="0000FF"/>
            <w:sz w:val="24"/>
            <w:szCs w:val="24"/>
            <w:u w:val="single"/>
          </w:rPr>
          <w:t>главой V</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2.5. По циклическим, скоростно-силовым видам спорта и многоборьям (биатлон,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r:id="rId11" w:anchor="p292" w:tooltip="Ссылка на текущий документ" w:history="1">
        <w:r w:rsidRPr="006E3D0B">
          <w:rPr>
            <w:rFonts w:ascii="Calibri" w:eastAsia="Calibri" w:hAnsi="Calibri" w:cs="Times New Roman"/>
            <w:color w:val="0000FF"/>
            <w:sz w:val="24"/>
            <w:szCs w:val="24"/>
            <w:u w:val="single"/>
          </w:rPr>
          <w:t>главой VI</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r:id="rId12" w:anchor="p344" w:tooltip="Ссылка на текущий документ" w:history="1">
        <w:r w:rsidRPr="006E3D0B">
          <w:rPr>
            <w:rFonts w:ascii="Calibri" w:eastAsia="Calibri" w:hAnsi="Calibri" w:cs="Times New Roman"/>
            <w:color w:val="0000FF"/>
            <w:sz w:val="24"/>
            <w:szCs w:val="24"/>
            <w:u w:val="single"/>
          </w:rPr>
          <w:t>главой VII</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r:id="rId13" w:anchor="p394" w:tooltip="Ссылка на текущий документ" w:history="1">
        <w:r w:rsidRPr="006E3D0B">
          <w:rPr>
            <w:rFonts w:ascii="Calibri" w:eastAsia="Calibri" w:hAnsi="Calibri" w:cs="Times New Roman"/>
            <w:color w:val="0000FF"/>
            <w:sz w:val="24"/>
            <w:szCs w:val="24"/>
            <w:u w:val="single"/>
          </w:rPr>
          <w:t>главой VIII</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2.8. По национальным видам спорта (керешу, мас-рестлинг, хапсагай, якутские национальные прыжки) в соответствии с </w:t>
      </w:r>
      <w:hyperlink r:id="rId14" w:anchor="p450" w:tooltip="Ссылка на текущий документ" w:history="1">
        <w:r w:rsidRPr="006E3D0B">
          <w:rPr>
            <w:rFonts w:ascii="Calibri" w:eastAsia="Calibri" w:hAnsi="Calibri" w:cs="Times New Roman"/>
            <w:color w:val="0000FF"/>
            <w:sz w:val="24"/>
            <w:szCs w:val="24"/>
            <w:u w:val="single"/>
          </w:rPr>
          <w:t>главой IX</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r:id="rId15" w:anchor="p497" w:tooltip="Ссылка на текущий документ" w:history="1">
        <w:r w:rsidRPr="006E3D0B">
          <w:rPr>
            <w:rFonts w:ascii="Calibri" w:eastAsia="Calibri" w:hAnsi="Calibri" w:cs="Times New Roman"/>
            <w:color w:val="0000FF"/>
            <w:sz w:val="24"/>
            <w:szCs w:val="24"/>
            <w:u w:val="single"/>
          </w:rPr>
          <w:t>главой X</w:t>
        </w:r>
      </w:hyperlink>
      <w:r w:rsidRPr="006E3D0B">
        <w:rPr>
          <w:rFonts w:ascii="Times New Roman" w:eastAsia="Calibri" w:hAnsi="Times New Roman" w:cs="Times New Roman"/>
          <w:sz w:val="24"/>
          <w:szCs w:val="24"/>
        </w:rPr>
        <w:t xml:space="preserve"> настоящих ФГТ.</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3. Программы, разрабатываемые образовательной организацией, должны соответствовать настоящим ФГТ и учитывать:</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возрастные и индивидуальные особенности обучающихся при занятиях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4. Основными задачами реализации Программы являются: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формирование культуры здорового и безопасного образа жизни, укрепление здоровья обучающихся;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формирование навыков адаптации к жизни в обществе, профессиональной ориентации;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выявление и поддержка детей, проявивших выдающиеся способности в спорте.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5. Программы должны быть направлены 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отбор одаренных детей;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создание условий для физического образования, воспитания и развития детей;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подготовку к освоению этапов спортивной подготовки, в том числе в дальнейшем по программам спортивной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организацию досуга и формирование потребности в поддержании здорового образа жизни.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II. Требования к минимуму содержания Программ по игровым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видам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6. Программы по игровым видам спорта, указанным в </w:t>
      </w:r>
      <w:hyperlink r:id="rId16" w:anchor="p41" w:tooltip="Ссылка на текущий документ" w:history="1">
        <w:r w:rsidRPr="006E3D0B">
          <w:rPr>
            <w:rFonts w:ascii="Calibri" w:eastAsia="Calibri" w:hAnsi="Calibri" w:cs="Times New Roman"/>
            <w:color w:val="0000FF"/>
            <w:sz w:val="24"/>
            <w:szCs w:val="24"/>
            <w:u w:val="single"/>
          </w:rPr>
          <w:t>пункте 2.1</w:t>
        </w:r>
      </w:hyperlink>
      <w:r w:rsidRPr="006E3D0B">
        <w:rPr>
          <w:rFonts w:ascii="Times New Roman" w:eastAsia="Calibri" w:hAnsi="Times New Roman" w:cs="Times New Roman"/>
          <w:sz w:val="24"/>
          <w:szCs w:val="24"/>
        </w:rPr>
        <w:t xml:space="preserve"> настоящих ФГТ, должны: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и специальная физическая подготовка;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творческого мышления.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2) учитывать особенности подготовки обучающихся по избранному виду спорта, в том числе: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сочетание элементов искусства, науки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акцент на развитие творческого мышления обучающегося;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большой объем соревновательной деятельности.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7.1.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спортивной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гигиенические знания, умения и навыки;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основы спортивного питания;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техники безопасности при занятиях избранным спортом.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7.2.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7.3. в области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выполнение норм, требований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7.4. в области развития творческого мышления: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изобретательности и логического мышления;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теоретическая подготовка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и специальная физическая подготовка в объеме от 20% до 30%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 в объеме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творческого мышления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III. Требования к минимуму содержания Программ по командным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игровым видам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9. Программы по командным игровым видам спорта, указанным в </w:t>
      </w:r>
      <w:hyperlink r:id="rId17" w:anchor="p42" w:tooltip="Ссылка на текущий документ" w:history="1">
        <w:r w:rsidRPr="006E3D0B">
          <w:rPr>
            <w:rFonts w:ascii="Calibri" w:eastAsia="Calibri" w:hAnsi="Calibri" w:cs="Times New Roman"/>
            <w:color w:val="0000FF"/>
            <w:sz w:val="24"/>
            <w:szCs w:val="24"/>
            <w:u w:val="single"/>
          </w:rPr>
          <w:t>пункте 2.2</w:t>
        </w:r>
      </w:hyperlink>
      <w:r w:rsidRPr="006E3D0B">
        <w:rPr>
          <w:rFonts w:ascii="Times New Roman" w:eastAsia="Calibri" w:hAnsi="Times New Roman" w:cs="Times New Roman"/>
          <w:sz w:val="24"/>
          <w:szCs w:val="24"/>
        </w:rPr>
        <w:t xml:space="preserve"> настоящих ФГТ, должны: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физическая подготовка;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специальная физическая подготовка.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большой объем соревновательной деятельности.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10.1.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спортивной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гигиенические знания, умения и навыки;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спортивного питания;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10.2. в области общей физической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10.3. в области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овладение основами техники и тактики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специальных психологических качеств;</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обучение способам повышения плотности технико-тактических действий в обусловленных интервалах игры;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10.4. в области специальной физической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скоростно-силовых качеств и специальной выносливости;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повышение индивидуального игрового мастерства;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скоростной техники в условиях силового противоборства с соперником;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повышение уровня специальной физической и функциональной подготовленности.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теоретическая подготовка в объеме не менее 10%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физическая подготовка в объеме от 10% до 20%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специальная физическая подготовка в объеме от 10% до 20%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 в объеме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IV.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по спортивным единоборствам</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xml:space="preserve">12. Программы по спортивным единоборствам, указанным в </w:t>
      </w:r>
      <w:hyperlink r:id="rId18" w:anchor="p43" w:tooltip="Ссылка на текущий документ" w:history="1">
        <w:r w:rsidRPr="006E3D0B">
          <w:rPr>
            <w:rFonts w:ascii="Calibri" w:eastAsia="Calibri" w:hAnsi="Calibri" w:cs="Times New Roman"/>
            <w:color w:val="0000FF"/>
            <w:sz w:val="24"/>
            <w:szCs w:val="24"/>
            <w:u w:val="single"/>
          </w:rPr>
          <w:t>пункте 2.3</w:t>
        </w:r>
      </w:hyperlink>
      <w:r w:rsidRPr="006E3D0B">
        <w:rPr>
          <w:rFonts w:ascii="Times New Roman" w:eastAsia="Calibri" w:hAnsi="Times New Roman" w:cs="Times New Roman"/>
          <w:sz w:val="24"/>
          <w:szCs w:val="24"/>
        </w:rPr>
        <w:t xml:space="preserve"> настоящих ФГТ, должны: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физическая подготовка;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другие виды спорта и подвижные игры;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технико-тактическая и психологическая подготовка.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преемственность технической, тактической, физической, психологической подготовки в избранном виде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повышение уровня специальных скоростно-силовых качеств и совершенствование специальной выносливости;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использование оптимальных объемов специальной подготовки, моделирующей соревновательную деятельность.</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философии и психологии спортивных единоборств;</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гигиенические знания, умения и навыки;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основы спортивного питания;</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13.3. в области избранного вида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повышение уровня специальной физической и функциональной подготовленности;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овладение основами техники и тактики в избранном виде спорта, дисциплине вида спорта (при наличии);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развитие специальных физических (двигательных) и психологических качеств;</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повышение уровня функциональной подготовленности;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13.4. в области освоения других видов спорта и подвижных игр:</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умение точно и своевременно выполнять задания, связанные с требованиями вида спорта и правилами подвижных игр;</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lastRenderedPageBreak/>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умение соблюдать требования техники безопасности при самостоятельном выполнении упражнений;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навыки сохранения собственной физической формы.</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13.5. в области технико-тактической и психологической подготовки: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основ технических и тактических действий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овладение необходимым уровнем автоматизированного реагирования на действия соперника;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освоение различных алгоритмов технико-тактических действий;</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приобретение навыков анализа спортивного мастерства соперников;</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умение адаптироваться к тренировочной (в том числе, соревновательной) деятельности;</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умение преодолевать предсоревновательные и соревновательные факторы, воздействующие на психологическое состояние спортсмена;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умение концентрировать внимание в ходе поединка.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общая и специальная физическая подготовка в объеме от 20% до 25%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избранный вид спорта в объеме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Calibri" w:hAnsi="Times New Roman" w:cs="Times New Roman"/>
          <w:sz w:val="24"/>
          <w:szCs w:val="24"/>
        </w:rPr>
      </w:pPr>
      <w:r w:rsidRPr="006E3D0B">
        <w:rPr>
          <w:rFonts w:ascii="Times New Roman" w:eastAsia="Calibri" w:hAnsi="Times New Roman" w:cs="Times New Roman"/>
          <w:sz w:val="24"/>
          <w:szCs w:val="24"/>
        </w:rPr>
        <w:t>- другие виды спорта и подвижные игры в объеме от 5% до 10% от общего объема учебного плана</w:t>
      </w:r>
      <w:r w:rsidRPr="006E3D0B">
        <w:rPr>
          <w:rFonts w:ascii="Times New Roman" w:eastAsia="Calibri" w:hAnsi="Times New Roman" w:cs="Times New Roman"/>
          <w:sz w:val="24"/>
          <w:szCs w:val="24"/>
        </w:rPr>
        <w:br/>
      </w:r>
      <w:r w:rsidRPr="006E3D0B">
        <w:rPr>
          <w:rFonts w:ascii="Times New Roman" w:eastAsia="Times New Roman" w:hAnsi="Times New Roman" w:cs="Times New Roman"/>
          <w:sz w:val="24"/>
          <w:szCs w:val="24"/>
          <w:lang w:eastAsia="ru-RU"/>
        </w:rPr>
        <w:t>- технико-тактическая и психологическая подготовка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V.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по сложно-координационным видам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15. Программы по сложно-координационным видам спорта, указанным в </w:t>
      </w:r>
      <w:hyperlink r:id="rId19" w:anchor="p44" w:tooltip="Ссылка на текущий документ" w:history="1">
        <w:r w:rsidRPr="006E3D0B">
          <w:rPr>
            <w:rFonts w:ascii="Times New Roman" w:eastAsia="Times New Roman" w:hAnsi="Times New Roman" w:cs="Times New Roman"/>
            <w:sz w:val="24"/>
            <w:szCs w:val="24"/>
            <w:u w:val="single"/>
            <w:lang w:eastAsia="ru-RU"/>
          </w:rPr>
          <w:t>пункте 2.4</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хореография и (или) акробатика.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новыми, сверхсложными оригинальными упражнениями;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постоянную готовность к соревновательной деятельности в течение всего годичного цикла.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16.1.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16.2.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16.3.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повышение уровня специальной физической и функциональной подготовленности;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специальных физических (двигательных) и психологических качеств;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повышение уровня функциональной подготовленности;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16.4. в области хореографии и (или) акробатики: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знание профессиональной терминологии;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определять средства музыкальной выразительности;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музыкальности, пластичности, выразительности, артистичности, импровизации;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сохранения собственной физической формы;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публичных выступлений.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 в объеме от 15% до 25%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хореография и (или) акробатика в объеме от 20% до 25%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организацию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организацию показательных выступлений обучающихся;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VI. Требования к минимуму содержания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Программ по циклическим, скоростно-силовым видам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спорта и многоборьям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18. Программы по циклическим, скоростно-силовым видам спорта и многоборьям, указанные в </w:t>
      </w:r>
      <w:hyperlink r:id="rId20" w:anchor="p45" w:tooltip="Ссылка на текущий документ" w:history="1">
        <w:r w:rsidRPr="006E3D0B">
          <w:rPr>
            <w:rFonts w:ascii="Times New Roman" w:eastAsia="Times New Roman" w:hAnsi="Times New Roman" w:cs="Times New Roman"/>
            <w:sz w:val="24"/>
            <w:szCs w:val="24"/>
            <w:u w:val="single"/>
            <w:lang w:eastAsia="ru-RU"/>
          </w:rPr>
          <w:t>пункте 2.5</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другие виды спорта и подвижные игры.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большой объем разносторонней физической подготовки в общем объеме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постепенное увеличение интенсивности тренировочного процесса и постепенное достижение высоких общих объемов тренировочных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повышение специальной скоростно-силовой подготовленности за счет широкого использования различных тренировочных средств.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19.1.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19.2.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19.3.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повышение уровня функциональной подготовленности;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19.4. в области других видов спорта и подвижных игр:</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точно и своевременно выполнять задания, связанные с обязательными для всех в подвижных играх правилами;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сохранения собственной физической формы.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20. В процессе реализации Программ по циклическим, скоростно-силовым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 в объеме от 30% до 35%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в объеме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другие виды спорта и подвижные игры в объеме от 5% до 15%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VII.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по видам спорта с использованием животных, участвующих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21. Программы по видам спорта с использованием животных, участвующих в спортивных соревнованиях, указанным в </w:t>
      </w:r>
      <w:hyperlink r:id="rId21" w:anchor="p46" w:tooltip="Ссылка на текущий документ" w:history="1">
        <w:r w:rsidRPr="006E3D0B">
          <w:rPr>
            <w:rFonts w:ascii="Times New Roman" w:eastAsia="Times New Roman" w:hAnsi="Times New Roman" w:cs="Times New Roman"/>
            <w:sz w:val="24"/>
            <w:szCs w:val="24"/>
            <w:u w:val="single"/>
            <w:lang w:eastAsia="ru-RU"/>
          </w:rPr>
          <w:t>пункте 2.6</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уход за животными.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22.1.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22.2.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22.3.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22.4. в области ухода за животными: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знание профессиональной терминологии;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сведения о строении и функциях организма животного, влияние на него физических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условные рефлексы и их роль в подготовке животного;</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уход за животным;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питание животного.</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 от 20% до 30%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не менее 45%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уход за животными в объеме от 15% до 20%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показательных выступлений обучающихся;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VIII.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по адаптивным видам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24. Программы по адаптивным видам спорта, указанным в </w:t>
      </w:r>
      <w:hyperlink r:id="rId22" w:anchor="p47" w:tooltip="Ссылка на текущий документ" w:history="1">
        <w:r w:rsidRPr="006E3D0B">
          <w:rPr>
            <w:rFonts w:ascii="Times New Roman" w:eastAsia="Times New Roman" w:hAnsi="Times New Roman" w:cs="Times New Roman"/>
            <w:sz w:val="24"/>
            <w:szCs w:val="24"/>
            <w:u w:val="single"/>
            <w:lang w:eastAsia="ru-RU"/>
          </w:rPr>
          <w:t>пункте 2.7</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другие виды спорта и подвижные игры.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профилактику сопутствующих заболеваний и вторичных отклонений;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25.1.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методов рекреационной деятельности;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25.2.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25.3.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 дисциплине вида спорта (при наличии);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обеспечение компенсации утраченных или нарушенных функций лиц с отклонениями в состоянии здоровья;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25.4. другие виды спорта и подвижные игры: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сохранения собственной физической формы.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 в объеме от 30% до 40%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другие виды спорта и подвижные игры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возможность использования инклюзивной системы обучения;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использование возможностей волонтеров.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IX.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по национальным видам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28. Программы по национальным видам спорта, указанным в </w:t>
      </w:r>
      <w:hyperlink r:id="rId23" w:anchor="p48" w:tooltip="Ссылка на текущий документ" w:history="1">
        <w:r w:rsidRPr="006E3D0B">
          <w:rPr>
            <w:rFonts w:ascii="Times New Roman" w:eastAsia="Times New Roman" w:hAnsi="Times New Roman" w:cs="Times New Roman"/>
            <w:sz w:val="24"/>
            <w:szCs w:val="24"/>
            <w:u w:val="single"/>
            <w:lang w:eastAsia="ru-RU"/>
          </w:rPr>
          <w:t>пункте 2.8</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национальный региональный компонент.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процесса подготовки в строгом соответствии со спецификой соревновательной деятельности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повышение уровня специальных скоростно-силовых качеств и совершенствование специальной выносливости;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использование оптимальных объемов специальной подготовки, моделирующей соревновательную деятельность;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29. Результатом освоения Программы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29.1.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спорта в Российской Федерации (в том числе национальных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культурно-этнические основы и традиции национального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29.2.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29.3.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29.4. в области национального регионального компонента: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общая и специальная физическая подготовка в объеме от 25% до 35%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национальный региональный компонент в объеме от 15% до 20%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X. Требования к минимуму содержания Программ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по служебно-прикладным и военно-прикладным,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спортивно-техническим, стрелковым видам спорта, а также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видам спорта, осуществляемым в природной среде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r:id="rId24" w:anchor="p49" w:tooltip="Ссылка на текущий документ" w:history="1">
        <w:r w:rsidRPr="006E3D0B">
          <w:rPr>
            <w:rFonts w:ascii="Times New Roman" w:eastAsia="Times New Roman" w:hAnsi="Times New Roman" w:cs="Times New Roman"/>
            <w:sz w:val="24"/>
            <w:szCs w:val="24"/>
            <w:u w:val="single"/>
            <w:lang w:eastAsia="ru-RU"/>
          </w:rPr>
          <w:t>пункте 2.9</w:t>
        </w:r>
      </w:hyperlink>
      <w:r w:rsidRPr="006E3D0B">
        <w:rPr>
          <w:rFonts w:ascii="Times New Roman" w:eastAsia="Times New Roman" w:hAnsi="Times New Roman" w:cs="Times New Roman"/>
          <w:sz w:val="24"/>
          <w:szCs w:val="24"/>
          <w:lang w:eastAsia="ru-RU"/>
        </w:rPr>
        <w:t xml:space="preserve"> настоящих ФГТ, должны: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1) содержать следующие предметные области: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теория и методика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специальные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спортивное и специальное оборудование.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2) учитывать особенности подготовки обучающихся по избранным видам спорта, в том числе: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увеличение в тренировочном процессе объемов специальной подготовки с повышенной степенью психологической напряженности;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учет прикладного характера избранных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32.1. в области теории и методики физической культуры и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история развития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место и роль физической культуры и спорта в современном обществе;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спортивной подготовки и тренировочного процесса;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необходимые сведения о строении и функциях организма человека;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гигиенические знания, умения и навыки;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режим дня, закаливание организма, здоровый образ жизни;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основы спортивного питания;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требования к оборудованию, инвентарю и спортивной экипировке;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при занятиях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32.2. в области общей и специальной физической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комплексов физических упражнений;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32.3. в области избранного вида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овладение основами техники и тактики в избранном виде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приобретение соревновательного опыта путем участия в спортивных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32.4. в области специальных навыков: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точно и своевременно выполнять задания, связанные с обязательными для избранного вида спорта специальными навыками;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развивать профессионально необходимые физические качества в избранном виде спорта средствами специальных навыков;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владение широким арсеналом тактико-технических действий для их использования в экстремальных условиях и критических ситуациях;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соблюдать требования техники безопасности при самостоятельном выполнении специальных действий;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формирование навыков сохранения собственной физической формы;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обладание психологической устойчивостью к действиям в различных ситуациях и во время спортивных соревнований.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32.5. в области спортивного и специального оборудования: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знания устройства спортивного и специального оборудования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умение использовать для достижения спортивных целей спортивное и специальное оборудование;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содержания и ремонта спортивного и специального оборудования.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теоретическая подготовка в объеме от 5%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общая и специальная физическая подготовка в объеме от 20% до 25%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избранный вид спорта в объеме не менее 40%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специальные навыки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работа со спортивным и специальным оборудованием в объеме от 10% до 15%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в пределах до 10% от общего объема учебного плана;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организация совместных мероприятий с другими образовательными 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XI. Требования к структуре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 Программа должна иметь следующую структуру:</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титульный лист;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пояснительную записку;</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учебный план;</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методическую часть;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систему контроля и зачетные требования;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перечень информационного обеспечения.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34.1. На титульном листе Программы указывается: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наименование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наименование образовательной организации, реализующей Программу;</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срок реализации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фамилия, имя, отчество (при наличии) разработчика(ков)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фамилия, имя, отчество (при наличии) не менее двух рецензентов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населенный пункт, в котором находится образовательная организация;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год составления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34.3. Учебный план Программы должен содержать: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продолжительность и объемы реализации Программы по предметным областям;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навыки в других видах спорта, способствующие повышению профессионального мастерства в избранном;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34.4. Методическая часть Программы включает в себя: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содержание и методику работы по предметным областям, этапам (периодам)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техники безопасности в процессе реализации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объемы максимальных тренировочных нагрузок.</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34.5. Система контроля и зачетные требования Программы должны включать: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комплексы контрольных упражнений для оценки результатов освоения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34.6. Перечень информационного обеспечения Программы должен включать:</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список литературы, содержащий не менее 10 источников;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перечень аудиовизуальных средств с учетом специфики избранного вида спорта (дисциплины);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перечень Интернет-ресурсов, необходимых для использования в образовательном процессе.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XII. Требования к условиям реализации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и срокам обучения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35. ФГТ устанавливают следующие требования к условиям реализации Программы: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к образовательному и тренировочному процессу;</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36. Организация занятий по Программе осуществляется по следующим этапам (периодам)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этап начальной подготовки - до 3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тренировочный этап (период базовой подготовки) - до 2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тренировочный этап (период спортивной специализации) - до 3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этап совершенствования спортивного мастерства - до 2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38. Срок обучения по Программе в зависимости от избранного вида спорта - от 6 до 10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Образовательная организация имеет право реализовывать Программу в сокращенные сроки.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график (расписание) тренировочных занятий в течение недели;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занятия по предметным областям (в том числе проводимые по группам, подгруппам и индивидуально);</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минимум один тренировочный сбор продолжительностью от 14 до 21 дня (без учета проезда к месту проведения тренировочных сборов и обратно);</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участие в соревнованиях;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промежуточная (итоговая) аттестация обучающихся.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сурдопереводчики и иные специалисты при условии их одновременной с основным тренером-преподавателем работы с обучающимися.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помещения для работы со специализированными материалами (фонотеку, видеотеку, фильмотеку и другие);</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раздевалки и душевые для обучающихся и специалистов.</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При наличии в Программе хореографической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При наличии в Программе акробатической подготовки: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45. Непрерывность освоения обучающимися Программы в каникулярный период обеспечивается следующим образом:</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в физкультурно-спортивных или спортивно-оздоровительных лагерях (центрах), а также в спортивно-образовательных центрах;</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lastRenderedPageBreak/>
        <w:t>- участием обучающихся в тренировочных сборах, проводимых образовательными организациями и иными физкультурно-спортивными организациями;</w:t>
      </w:r>
    </w:p>
    <w:p w:rsidR="00A4797D" w:rsidRPr="006E3D0B" w:rsidRDefault="00A4797D" w:rsidP="00A4797D">
      <w:pPr>
        <w:spacing w:after="0" w:line="240" w:lineRule="auto"/>
        <w:ind w:firstLine="426"/>
        <w:jc w:val="both"/>
        <w:rPr>
          <w:rFonts w:ascii="Times New Roman" w:eastAsia="Times New Roman" w:hAnsi="Times New Roman" w:cs="Times New Roman"/>
          <w:sz w:val="24"/>
          <w:szCs w:val="24"/>
          <w:lang w:eastAsia="ru-RU"/>
        </w:rPr>
      </w:pPr>
      <w:r w:rsidRPr="006E3D0B">
        <w:rPr>
          <w:rFonts w:ascii="Times New Roman" w:eastAsia="Times New Roman" w:hAnsi="Times New Roman" w:cs="Times New Roman"/>
          <w:sz w:val="24"/>
          <w:szCs w:val="24"/>
          <w:lang w:eastAsia="ru-RU"/>
        </w:rPr>
        <w:t>- самостоятельная работа обучающихся по индивидуальным планам подготовки.</w:t>
      </w:r>
    </w:p>
    <w:p w:rsidR="0016509E" w:rsidRDefault="0016509E">
      <w:bookmarkStart w:id="0" w:name="_GoBack"/>
      <w:bookmarkEnd w:id="0"/>
    </w:p>
    <w:sectPr w:rsidR="0016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8"/>
    <w:rsid w:val="0016509E"/>
    <w:rsid w:val="005C3138"/>
    <w:rsid w:val="00A4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5294/?frame=1" TargetMode="External"/><Relationship Id="rId13" Type="http://schemas.openxmlformats.org/officeDocument/2006/relationships/hyperlink" Target="http://www.consultant.ru/document/cons_doc_LAW_155294/?frame=2" TargetMode="External"/><Relationship Id="rId18" Type="http://schemas.openxmlformats.org/officeDocument/2006/relationships/hyperlink" Target="http://www.consultant.ru/document/cons_doc_LAW_155294/?frame=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155294/?frame=1" TargetMode="External"/><Relationship Id="rId7" Type="http://schemas.openxmlformats.org/officeDocument/2006/relationships/hyperlink" Target="http://www.consultant.ru/document/cons_doc_LAW_155294/?frame=1" TargetMode="External"/><Relationship Id="rId12" Type="http://schemas.openxmlformats.org/officeDocument/2006/relationships/hyperlink" Target="http://www.consultant.ru/document/cons_doc_LAW_155294/?frame=2" TargetMode="External"/><Relationship Id="rId17" Type="http://schemas.openxmlformats.org/officeDocument/2006/relationships/hyperlink" Target="http://www.consultant.ru/document/cons_doc_LAW_155294/?frame=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55294/?frame=1" TargetMode="External"/><Relationship Id="rId20" Type="http://schemas.openxmlformats.org/officeDocument/2006/relationships/hyperlink" Target="http://www.consultant.ru/document/cons_doc_LAW_155294/?frame=1" TargetMode="External"/><Relationship Id="rId1" Type="http://schemas.openxmlformats.org/officeDocument/2006/relationships/styles" Target="styles.xml"/><Relationship Id="rId6" Type="http://schemas.openxmlformats.org/officeDocument/2006/relationships/hyperlink" Target="http://www.consultant.ru/document/cons_doc_LAW_155294/?frame=1" TargetMode="External"/><Relationship Id="rId11" Type="http://schemas.openxmlformats.org/officeDocument/2006/relationships/hyperlink" Target="http://www.consultant.ru/document/cons_doc_LAW_155294/?frame=2" TargetMode="External"/><Relationship Id="rId24" Type="http://schemas.openxmlformats.org/officeDocument/2006/relationships/hyperlink" Target="http://www.consultant.ru/document/cons_doc_LAW_155294/?frame=1" TargetMode="External"/><Relationship Id="rId5" Type="http://schemas.openxmlformats.org/officeDocument/2006/relationships/hyperlink" Target="http://www.consultant.ru/document/cons_doc_LAW_147353/?dst=101136" TargetMode="External"/><Relationship Id="rId15" Type="http://schemas.openxmlformats.org/officeDocument/2006/relationships/hyperlink" Target="http://www.consultant.ru/document/cons_doc_LAW_155294/?frame=3" TargetMode="External"/><Relationship Id="rId23" Type="http://schemas.openxmlformats.org/officeDocument/2006/relationships/hyperlink" Target="http://www.consultant.ru/document/cons_doc_LAW_155294/?frame=1" TargetMode="External"/><Relationship Id="rId10" Type="http://schemas.openxmlformats.org/officeDocument/2006/relationships/hyperlink" Target="http://www.consultant.ru/document/cons_doc_LAW_155294/?frame=2" TargetMode="External"/><Relationship Id="rId19" Type="http://schemas.openxmlformats.org/officeDocument/2006/relationships/hyperlink" Target="http://www.consultant.ru/document/cons_doc_LAW_15529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55294/?frame=1" TargetMode="External"/><Relationship Id="rId14" Type="http://schemas.openxmlformats.org/officeDocument/2006/relationships/hyperlink" Target="http://www.consultant.ru/document/cons_doc_LAW_155294/?frame=3" TargetMode="External"/><Relationship Id="rId22" Type="http://schemas.openxmlformats.org/officeDocument/2006/relationships/hyperlink" Target="http://www.consultant.ru/document/cons_doc_LAW_155294/?fram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9898</Words>
  <Characters>56425</Characters>
  <Application>Microsoft Office Word</Application>
  <DocSecurity>0</DocSecurity>
  <Lines>470</Lines>
  <Paragraphs>132</Paragraphs>
  <ScaleCrop>false</ScaleCrop>
  <Company/>
  <LinksUpToDate>false</LinksUpToDate>
  <CharactersWithSpaces>66191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dcterms:created xsi:type="dcterms:W3CDTF">2021-08-30T05:04:00Z</dcterms:created>
  <dcterms:modified xsi:type="dcterms:W3CDTF">2021-08-30T05:04:00Z</dcterms:modified>
</cp:coreProperties>
</file>